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490" w:rsidRPr="004C2490" w:rsidRDefault="004C2490" w:rsidP="004C2490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 xml:space="preserve">Робот для торговли на 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Форекс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 xml:space="preserve"> «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-PRO» — Общая информация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Герой нашего сегодняшнего обзора робот для торговли на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Форекс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, использующий каналы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Кельтнера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. В сети он именуется, как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-PRO» и позволяет своим пользователям получать достаточно стабильные и увесистые результаты. Традиционно, пользователи нашего портала могут получить робота бесплатно (ищите ссылку для скачивания внизу этой статьи), а мы начнем обзор данного торгового эксперта.</w:t>
      </w:r>
    </w:p>
    <w:p w:rsidR="004C2490" w:rsidRPr="004C2490" w:rsidRDefault="004C2490" w:rsidP="004C2490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Как работает «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Keltner</w:t>
      </w:r>
      <w:bookmarkStart w:id="0" w:name="_GoBack"/>
      <w:bookmarkEnd w:id="0"/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-PRO»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Полускальперский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робот для торговли на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форекс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-PRO» может работать сразу по двум стратегиям: внутри каналов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Кельтнета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и на пробой данных каналов. По умолчанию вторая из перечисленных стратегий отключена и при написании этого обзора не тестировалась. Впрочем, для получения прибыли, вполне достаточно и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трейдинга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внутри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Channels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, что подтверждают тесты данного эксперта и его реальный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on-line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мониторинг, который принес автору, использующему этого робота за 2 года 827% прибыли и, заметьте – на реальном, а не на центовом счету: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143B8EA" wp14:editId="6E19992F">
            <wp:extent cx="6311900" cy="3029712"/>
            <wp:effectExtent l="0" t="0" r="0" b="0"/>
            <wp:docPr id="5" name="Рисунок 5" descr="Результаты Keltner-PRO на реальном счету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ы Keltner-PRO на реальном счету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0" cy="302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spellStart"/>
      <w:proofErr w:type="gram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P</w:t>
      </w:r>
      <w:proofErr w:type="gram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обот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для торговли на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Форекс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-PRO» не использует в работе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мартингейл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, сетки и любые другие опасные стратегии управления капиталом. Его стандартный рабочий лот, это 0,05% риска от размера торгового счета. Поэтому использование данного эксперта, не грозит быстрой и внезапной потерей вашего торгового счета.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Параметры использования «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-PRO»</w:t>
      </w:r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Валютные пары для торговли: EURUSD, GBPUSD, AUDUSD, NZDUSD, USDCHF</w:t>
      </w:r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spellStart"/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Таймфреймы</w:t>
      </w:r>
      <w:proofErr w:type="spellEnd"/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 xml:space="preserve"> для торговли: М5 и М15</w:t>
      </w:r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Минимальный депозит: 1000 USD (для мультивалютной торговли) и 200 USD для торговли на 1 паре</w:t>
      </w:r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 xml:space="preserve">Стратегия работы эксперта: </w:t>
      </w:r>
      <w:proofErr w:type="spellStart"/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полускальперская</w:t>
      </w:r>
      <w:proofErr w:type="spellEnd"/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 xml:space="preserve"> система торговли в каналах </w:t>
      </w:r>
      <w:proofErr w:type="spellStart"/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Кельтнера</w:t>
      </w:r>
      <w:proofErr w:type="spellEnd"/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Время торговли: круглосуточно</w:t>
      </w:r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lastRenderedPageBreak/>
        <w:t xml:space="preserve">Встроенная система </w:t>
      </w:r>
      <w:proofErr w:type="gramStart"/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мани-менеджмента</w:t>
      </w:r>
      <w:proofErr w:type="gramEnd"/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: Есть</w:t>
      </w:r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 xml:space="preserve">Особенности торговли: требует круглосуточного доступа к сети интернет (необходим </w:t>
      </w:r>
      <w:r w:rsidRPr="004C2490">
        <w:rPr>
          <w:rFonts w:ascii="Arial Narrow" w:eastAsia="Times New Roman" w:hAnsi="Arial Narrow" w:cs="Times New Roman"/>
          <w:b/>
          <w:bCs/>
          <w:iCs/>
          <w:color w:val="0000FF"/>
          <w:sz w:val="24"/>
          <w:szCs w:val="24"/>
          <w:u w:val="single"/>
          <w:lang w:eastAsia="ru-RU"/>
        </w:rPr>
        <w:t>VPS</w:t>
      </w: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)</w:t>
      </w:r>
    </w:p>
    <w:p w:rsidR="004C2490" w:rsidRPr="004C2490" w:rsidRDefault="004C2490" w:rsidP="004C24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iCs/>
          <w:sz w:val="24"/>
          <w:szCs w:val="24"/>
          <w:lang w:eastAsia="ru-RU"/>
        </w:rPr>
        <w:t>Чувствительность к расширению спреда – отсутствует (в нормальных пределах)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 xml:space="preserve">Тестирование робота для торговли на 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Форекс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 xml:space="preserve"> «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-PRO»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Тестирование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-PRO» осуществлялось на двух валютных парах: EURUSD и GBPUSD, и двух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таймфреймах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: М5 и М15, в рамках </w:t>
      </w:r>
      <w:proofErr w:type="gram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которого</w:t>
      </w:r>
      <w:proofErr w:type="gram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наш торговый эксперт, использующий каналы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кельтнера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показал достаточно разные, но вполне удобоваримые результаты. Но, не сказать, чтобы они были гениально высокими. В общем – судите сами.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EURUSD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таймфрейм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М15, период тестирования: 2010-2015, риск 0,05% на депозит, размер начального депозита 1000 USD, максимальная просадка 35,56%, конечный результат 12479 USD: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i/>
          <w:iCs/>
          <w:noProof/>
          <w:color w:val="0000FF"/>
          <w:sz w:val="24"/>
          <w:szCs w:val="24"/>
          <w:lang w:eastAsia="ru-RU"/>
        </w:rPr>
        <w:drawing>
          <wp:inline distT="0" distB="0" distL="0" distR="0" wp14:anchorId="67169868" wp14:editId="68E1C331">
            <wp:extent cx="6460888" cy="5092700"/>
            <wp:effectExtent l="0" t="0" r="0" b="0"/>
            <wp:docPr id="4" name="Рисунок 4" descr="EURUSD таймфрейм М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URUSD таймфрейм М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888" cy="509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490">
        <w:rPr>
          <w:rFonts w:ascii="Arial Narrow" w:eastAsia="Times New Roman" w:hAnsi="Arial Narrow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EURUSD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таймфрейм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М5, период тестирования: 2010-2015, риск 0,05% на депозит, размер начального депозита 1000 USD, максимальная просадка 32%, конечный результат 5528 USD: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i/>
          <w:iCs/>
          <w:sz w:val="24"/>
          <w:szCs w:val="24"/>
          <w:lang w:eastAsia="ru-RU"/>
        </w:rPr>
        <w:lastRenderedPageBreak/>
        <w:t> </w:t>
      </w:r>
      <w:r w:rsidRPr="004C2490">
        <w:rPr>
          <w:rFonts w:ascii="Arial Narrow" w:eastAsia="Times New Roman" w:hAnsi="Arial Narrow" w:cs="Times New Roman"/>
          <w:b/>
          <w:bCs/>
          <w:i/>
          <w:iCs/>
          <w:noProof/>
          <w:color w:val="0000FF"/>
          <w:sz w:val="24"/>
          <w:szCs w:val="24"/>
          <w:lang w:eastAsia="ru-RU"/>
        </w:rPr>
        <w:drawing>
          <wp:inline distT="0" distB="0" distL="0" distR="0" wp14:anchorId="380A20D8" wp14:editId="779AC37A">
            <wp:extent cx="6263284" cy="5099050"/>
            <wp:effectExtent l="0" t="0" r="4445" b="6350"/>
            <wp:docPr id="3" name="Рисунок 3" descr="EURUSD таймфрейм М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URUSD таймфрейм М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284" cy="509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GBPUSD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таймфрейм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М15, период тестирования: 2010-2015, риск 0,05% на депозит, размер начального депозита 1000 USD, максимальная просадка 60%, конечный результат 1713 USD: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074A0454" wp14:editId="3D94B84C">
            <wp:extent cx="6641643" cy="5276850"/>
            <wp:effectExtent l="0" t="0" r="6985" b="0"/>
            <wp:docPr id="2" name="Рисунок 2" descr="GBPUSD таймфрейм М1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BPUSD таймфрейм М1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273" cy="52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GBPUSD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таймфрейм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М5, период тестирования: 2010-2015, риск 0,05% на депозит, размер начального депозита 1000 USD, максимальная просадка 49%, конечный результат 3643 USD: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i/>
          <w:iCs/>
          <w:sz w:val="24"/>
          <w:szCs w:val="24"/>
          <w:lang w:eastAsia="ru-RU"/>
        </w:rPr>
        <w:lastRenderedPageBreak/>
        <w:t> </w:t>
      </w:r>
      <w:r w:rsidRPr="004C2490">
        <w:rPr>
          <w:rFonts w:ascii="Arial Narrow" w:eastAsia="Times New Roman" w:hAnsi="Arial Narrow" w:cs="Times New Roman"/>
          <w:b/>
          <w:bCs/>
          <w:i/>
          <w:iCs/>
          <w:noProof/>
          <w:color w:val="0000FF"/>
          <w:sz w:val="24"/>
          <w:szCs w:val="24"/>
          <w:lang w:eastAsia="ru-RU"/>
        </w:rPr>
        <w:drawing>
          <wp:inline distT="0" distB="0" distL="0" distR="0" wp14:anchorId="0D6F14C7" wp14:editId="797CCF9C">
            <wp:extent cx="6711950" cy="5346027"/>
            <wp:effectExtent l="0" t="0" r="0" b="7620"/>
            <wp:docPr id="1" name="Рисунок 1" descr="GBPUSD таймфрейм М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BPUSD таймфрейм М5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0" cy="534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Как видите, результаты тестирования на различных валютных парах и различных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таймфреймах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продемонстрировали достаточно разные успехи. И этот фактор можно использовать для создания взвешенной торговой корзины, в которой прибыльность одних валютных пар будет перекрывать убытки других. В итоге, при использовании всех перечисленных и доступных для торговли валютных пар, можно запросто снизить торговую просадку и достигнуть такой же прибыльности, как и пользователь мониторинга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-PRO»,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скрин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которого опубликован выше. Чего и вам желаем!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 </w:t>
      </w:r>
    </w:p>
    <w:p w:rsidR="004C2490" w:rsidRPr="004C2490" w:rsidRDefault="004C2490" w:rsidP="004C2490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</w:pPr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Как установить «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 xml:space="preserve">-PRO» в 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Meta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>Trader</w:t>
      </w:r>
      <w:proofErr w:type="spellEnd"/>
      <w:r w:rsidRPr="004C2490">
        <w:rPr>
          <w:rFonts w:ascii="Arial Narrow" w:eastAsia="Times New Roman" w:hAnsi="Arial Narrow" w:cs="Times New Roman"/>
          <w:b/>
          <w:bCs/>
          <w:sz w:val="36"/>
          <w:szCs w:val="36"/>
          <w:lang w:eastAsia="ru-RU"/>
        </w:rPr>
        <w:t xml:space="preserve"> 4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В скачанном архиве, вы найдете файл советника и библиотеку с расширением DLL, которые необходимо скопировать в соответственные папки корневого каталога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Meta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Trader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4, установленного на ваш компьютер:</w:t>
      </w:r>
    </w:p>
    <w:p w:rsidR="004C2490" w:rsidRPr="004C2490" w:rsidRDefault="004C2490" w:rsidP="004C2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en-US"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Файл</w:t>
      </w:r>
      <w:r w:rsidRPr="004C2490">
        <w:rPr>
          <w:rFonts w:ascii="Arial Narrow" w:eastAsia="Times New Roman" w:hAnsi="Arial Narrow" w:cs="Times New Roman"/>
          <w:sz w:val="24"/>
          <w:szCs w:val="24"/>
          <w:lang w:val="en-US" w:eastAsia="ru-RU"/>
        </w:rPr>
        <w:t xml:space="preserve"> </w:t>
      </w: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эксперта</w:t>
      </w:r>
      <w:r w:rsidRPr="004C2490">
        <w:rPr>
          <w:rFonts w:ascii="Arial Narrow" w:eastAsia="Times New Roman" w:hAnsi="Arial Narrow" w:cs="Times New Roman"/>
          <w:sz w:val="24"/>
          <w:szCs w:val="24"/>
          <w:lang w:val="en-US" w:eastAsia="ru-RU"/>
        </w:rPr>
        <w:t xml:space="preserve"> —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val="en-US" w:eastAsia="ru-RU"/>
        </w:rPr>
        <w:t>Keltner-PRO_edu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val="en-US" w:eastAsia="ru-RU"/>
        </w:rPr>
        <w:t xml:space="preserve">» </w:t>
      </w: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в</w:t>
      </w:r>
      <w:r w:rsidRPr="004C2490">
        <w:rPr>
          <w:rFonts w:ascii="Arial Narrow" w:eastAsia="Times New Roman" w:hAnsi="Arial Narrow" w:cs="Times New Roman"/>
          <w:sz w:val="24"/>
          <w:szCs w:val="24"/>
          <w:lang w:val="en-US" w:eastAsia="ru-RU"/>
        </w:rPr>
        <w:t xml:space="preserve"> </w:t>
      </w: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папку</w:t>
      </w:r>
      <w:r w:rsidRPr="004C2490">
        <w:rPr>
          <w:rFonts w:ascii="Arial Narrow" w:eastAsia="Times New Roman" w:hAnsi="Arial Narrow" w:cs="Times New Roman"/>
          <w:sz w:val="24"/>
          <w:szCs w:val="24"/>
          <w:lang w:val="en-US" w:eastAsia="ru-RU"/>
        </w:rPr>
        <w:t xml:space="preserve"> «Experts»</w:t>
      </w:r>
    </w:p>
    <w:p w:rsidR="004C2490" w:rsidRPr="004C2490" w:rsidRDefault="004C2490" w:rsidP="004C2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Файл 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-PRO с расширением DLL </w:t>
      </w:r>
      <w:proofErr w:type="gram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в</w:t>
      </w:r>
      <w:proofErr w:type="gram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паку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Libraries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»</w:t>
      </w:r>
    </w:p>
    <w:p w:rsidR="004C2490" w:rsidRPr="004C2490" w:rsidRDefault="004C2490" w:rsidP="004C249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lastRenderedPageBreak/>
        <w:t>После установки файлов в каталог МТ</w:t>
      </w:r>
      <w:proofErr w:type="gram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4</w:t>
      </w:r>
      <w:proofErr w:type="gram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, переустановите платформу и можете приступать к самостоятельному тестированию «</w:t>
      </w:r>
      <w:proofErr w:type="spellStart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>Keltner</w:t>
      </w:r>
      <w:proofErr w:type="spellEnd"/>
      <w:r w:rsidRPr="004C2490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-PRO». </w:t>
      </w:r>
    </w:p>
    <w:p w:rsidR="0013553E" w:rsidRPr="004C2490" w:rsidRDefault="0013553E">
      <w:pPr>
        <w:rPr>
          <w:rFonts w:ascii="Arial Narrow" w:hAnsi="Arial Narrow"/>
        </w:rPr>
      </w:pPr>
    </w:p>
    <w:sectPr w:rsidR="0013553E" w:rsidRPr="004C2490" w:rsidSect="004C249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11A3B"/>
    <w:multiLevelType w:val="multilevel"/>
    <w:tmpl w:val="0A10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6F04A2"/>
    <w:multiLevelType w:val="multilevel"/>
    <w:tmpl w:val="B23E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103"/>
    <w:rsid w:val="0013553E"/>
    <w:rsid w:val="004C2490"/>
    <w:rsid w:val="00B3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C24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4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C2490"/>
    <w:rPr>
      <w:b/>
      <w:bCs/>
    </w:rPr>
  </w:style>
  <w:style w:type="paragraph" w:styleId="a4">
    <w:name w:val="Normal (Web)"/>
    <w:basedOn w:val="a"/>
    <w:uiPriority w:val="99"/>
    <w:semiHidden/>
    <w:unhideWhenUsed/>
    <w:rsid w:val="004C2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C2490"/>
    <w:rPr>
      <w:color w:val="0000FF"/>
      <w:u w:val="single"/>
    </w:rPr>
  </w:style>
  <w:style w:type="character" w:styleId="a6">
    <w:name w:val="Emphasis"/>
    <w:basedOn w:val="a0"/>
    <w:uiPriority w:val="20"/>
    <w:qFormat/>
    <w:rsid w:val="004C249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C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C24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4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C2490"/>
    <w:rPr>
      <w:b/>
      <w:bCs/>
    </w:rPr>
  </w:style>
  <w:style w:type="paragraph" w:styleId="a4">
    <w:name w:val="Normal (Web)"/>
    <w:basedOn w:val="a"/>
    <w:uiPriority w:val="99"/>
    <w:semiHidden/>
    <w:unhideWhenUsed/>
    <w:rsid w:val="004C2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C2490"/>
    <w:rPr>
      <w:color w:val="0000FF"/>
      <w:u w:val="single"/>
    </w:rPr>
  </w:style>
  <w:style w:type="character" w:styleId="a6">
    <w:name w:val="Emphasis"/>
    <w:basedOn w:val="a0"/>
    <w:uiPriority w:val="20"/>
    <w:qFormat/>
    <w:rsid w:val="004C249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C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4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vatfinance.com/wp-content/uploads/2016/05/EURUSD-tai--mfrei--m-M15.png" TargetMode="Externa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privatfinance.com/wp-content/uploads/2016/05/GBPUSD_M15-test.p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rivatfinance.com/wp-content/uploads/2016/05/Monitoring-Keltner-PRO.pn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privatfinance.com/wp-content/uploads/2016/05/EURUSD_M5-test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rivatfinance.com/wp-content/uploads/2016/05/GBPUSD_M5-test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3398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2017-01-21T20:52:00Z</dcterms:created>
  <dcterms:modified xsi:type="dcterms:W3CDTF">2017-01-21T20:54:00Z</dcterms:modified>
</cp:coreProperties>
</file>